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9AC9C" w14:textId="77777777" w:rsidR="00181592" w:rsidRDefault="001413A4">
      <w:pPr>
        <w:pStyle w:val="Nadpis1"/>
        <w:numPr>
          <w:ilvl w:val="0"/>
          <w:numId w:val="0"/>
        </w:numPr>
        <w:ind w:left="432"/>
      </w:pPr>
      <w:bookmarkStart w:id="0" w:name="_GoBack"/>
      <w:bookmarkEnd w:id="0"/>
      <w:r>
        <w:t>Infrastruktura pro zálohování</w:t>
      </w:r>
    </w:p>
    <w:p w14:paraId="4D7FB71C" w14:textId="72B45A18" w:rsidR="00181592" w:rsidRDefault="001413A4">
      <w:pPr>
        <w:ind w:firstLine="360"/>
      </w:pPr>
      <w:r>
        <w:t>Je požadována dodávka systému zálohování virtuálních serverů (dále jen VMs) fungující v produkčním prostředí nemocnice.  Fyzicky bude nainstalován do obou serveroven - primární Serverovna 1 (dále jen Srv1) a sekundární Serverovna 2 (dále jen Srv2). V Srv1 a Srv2 budou umístěna identická řešení konvergované technologie virtuálního prostředí, na která budou konvertovány stávající VMs (viz technologie „Vysoká dostupnost virtualizační vrstvy a diskových polí“). Nově zde budou nainstalovány VMs nutné pro provoz bezpečnostních technologií v řešené problematice kybernetické bezpečnosti (dále jen KB). Do Srv1 a Srv2</w:t>
      </w:r>
      <w:r>
        <w:rPr>
          <w:color w:val="00B050"/>
        </w:rPr>
        <w:t xml:space="preserve"> </w:t>
      </w:r>
      <w:r>
        <w:rPr>
          <w:color w:val="000000" w:themeColor="text1"/>
        </w:rPr>
        <w:t>budou umístěny servery s interními diskovými poli a přídavnými expanzními jednotkami s dos</w:t>
      </w:r>
      <w:r>
        <w:t xml:space="preserve">tatečnou kapacitou pro zálohování. </w:t>
      </w:r>
    </w:p>
    <w:p w14:paraId="37A0903A" w14:textId="77777777" w:rsidR="00181592" w:rsidRDefault="001413A4">
      <w:r>
        <w:t>Jsou požadovány:</w:t>
      </w:r>
    </w:p>
    <w:p w14:paraId="25C9DFDB" w14:textId="0BF14F0C" w:rsidR="00181592" w:rsidRDefault="001413A4">
      <w:pPr>
        <w:numPr>
          <w:ilvl w:val="0"/>
          <w:numId w:val="40"/>
        </w:numPr>
      </w:pPr>
      <w:r>
        <w:t>Primární zálohovací server (backup 1) s interním diskovým polem, doplněným o dvě přídavné expanzní jednotky s disky pro zajištění dostatečné kapacity.</w:t>
      </w:r>
      <w:r w:rsidR="007121BA">
        <w:t xml:space="preserve"> </w:t>
      </w:r>
      <w:r>
        <w:t>Tento server bude zajišťovat zálohování nových virtuálních serverů (pro KB) a zálohování stávajících virtuálních serverů.</w:t>
      </w:r>
    </w:p>
    <w:p w14:paraId="4C9DA5C8" w14:textId="76E22124" w:rsidR="00181592" w:rsidRDefault="001413A4">
      <w:pPr>
        <w:numPr>
          <w:ilvl w:val="0"/>
          <w:numId w:val="40"/>
        </w:numPr>
      </w:pPr>
      <w:r>
        <w:t>Sekundární zálohovací server (backup2) s interním diskovým polem, doplněným o dvě přídavné expanzní jednotky s disky pro zajištění dostatečné kapacity. Tento</w:t>
      </w:r>
      <w:r w:rsidR="007121BA">
        <w:t xml:space="preserve"> </w:t>
      </w:r>
      <w:r>
        <w:t>server</w:t>
      </w:r>
      <w:r w:rsidR="007121BA">
        <w:t xml:space="preserve"> </w:t>
      </w:r>
      <w:r>
        <w:t>bude nakonfigurován pro immutable backup (zamykání záloh) a doplní primární zálohovací server.</w:t>
      </w:r>
    </w:p>
    <w:p w14:paraId="56EDBF99" w14:textId="2361CDD9" w:rsidR="00181592" w:rsidRDefault="001413A4">
      <w:pPr>
        <w:numPr>
          <w:ilvl w:val="0"/>
          <w:numId w:val="40"/>
        </w:numPr>
      </w:pPr>
      <w:r>
        <w:t>Zálohování PACS, řešené novým NAS řešením, na které se budou replikovat zálohy z virtuálních PACS serverů. Fyzicky bude tato nová NAS umístěna v Srv2. NAS bude mít dva zdroje a potřebnou síťovou konektivitu. Jeho interní diskové pole bude ochráněno minimálně proti výpadku dvou diskových mechanik.</w:t>
      </w:r>
    </w:p>
    <w:p w14:paraId="79DC3788" w14:textId="77777777" w:rsidR="00181592" w:rsidRDefault="00181592"/>
    <w:p w14:paraId="104B4C47" w14:textId="7A22BB92" w:rsidR="00181592" w:rsidRDefault="001413A4">
      <w:pPr>
        <w:rPr>
          <w:b/>
        </w:rPr>
      </w:pPr>
      <w:r>
        <w:rPr>
          <w:b/>
        </w:rPr>
        <w:t>Požadované zálohovací schéma:</w:t>
      </w:r>
    </w:p>
    <w:p w14:paraId="33B9FA9D" w14:textId="77777777" w:rsidR="00181592" w:rsidRDefault="001413A4">
      <w:pPr>
        <w:pStyle w:val="Odstavecseseznamem"/>
        <w:numPr>
          <w:ilvl w:val="0"/>
          <w:numId w:val="32"/>
        </w:numPr>
        <w:rPr>
          <w:i/>
          <w:color w:val="000000" w:themeColor="text1"/>
        </w:rPr>
      </w:pPr>
      <w:r>
        <w:rPr>
          <w:i/>
        </w:rPr>
        <w:t xml:space="preserve">primární </w:t>
      </w:r>
      <w:r>
        <w:rPr>
          <w:i/>
          <w:color w:val="000000" w:themeColor="text1"/>
        </w:rPr>
        <w:t>zálohovací server</w:t>
      </w:r>
    </w:p>
    <w:p w14:paraId="00D02312" w14:textId="77777777" w:rsidR="00181592" w:rsidRDefault="001413A4">
      <w:pPr>
        <w:pStyle w:val="Odstavecseseznamem"/>
        <w:numPr>
          <w:ilvl w:val="1"/>
          <w:numId w:val="32"/>
        </w:numPr>
        <w:rPr>
          <w:bCs/>
          <w:i/>
          <w:color w:val="000000" w:themeColor="text1"/>
        </w:rPr>
      </w:pPr>
      <w:r>
        <w:rPr>
          <w:color w:val="000000" w:themeColor="text1"/>
        </w:rPr>
        <w:t>testovací virtuální servery</w:t>
      </w:r>
    </w:p>
    <w:p w14:paraId="4BDE0856" w14:textId="77777777" w:rsidR="00181592" w:rsidRDefault="001413A4">
      <w:pPr>
        <w:pStyle w:val="Odstavecseseznamem"/>
        <w:numPr>
          <w:ilvl w:val="2"/>
          <w:numId w:val="32"/>
        </w:numPr>
        <w:rPr>
          <w:bCs/>
          <w:i/>
          <w:color w:val="000000" w:themeColor="text1"/>
        </w:rPr>
      </w:pPr>
      <w:r>
        <w:rPr>
          <w:color w:val="000000" w:themeColor="text1"/>
        </w:rPr>
        <w:t>14 restore pointů - plná záloha během víkendu a inkrementální zálohy ostatní dny</w:t>
      </w:r>
    </w:p>
    <w:p w14:paraId="1FF297D3" w14:textId="77777777" w:rsidR="00181592" w:rsidRDefault="001413A4">
      <w:pPr>
        <w:pStyle w:val="Odstavecseseznamem"/>
        <w:numPr>
          <w:ilvl w:val="1"/>
          <w:numId w:val="32"/>
        </w:numPr>
        <w:rPr>
          <w:bCs/>
          <w:i/>
          <w:color w:val="000000" w:themeColor="text1"/>
        </w:rPr>
      </w:pPr>
      <w:r>
        <w:rPr>
          <w:color w:val="000000" w:themeColor="text1"/>
        </w:rPr>
        <w:t>produkční  virtuální servery</w:t>
      </w:r>
    </w:p>
    <w:p w14:paraId="38B72AA8" w14:textId="77777777" w:rsidR="00181592" w:rsidRDefault="001413A4">
      <w:pPr>
        <w:pStyle w:val="Odstavecseseznamem"/>
        <w:numPr>
          <w:ilvl w:val="2"/>
          <w:numId w:val="39"/>
        </w:numPr>
        <w:rPr>
          <w:bCs/>
          <w:i/>
          <w:color w:val="000000" w:themeColor="text1"/>
        </w:rPr>
      </w:pPr>
      <w:r>
        <w:rPr>
          <w:color w:val="000000" w:themeColor="text1"/>
        </w:rPr>
        <w:t>28 restore pointů - plná záloha během víkendu a inkrementální zálohy ostatní dny</w:t>
      </w:r>
    </w:p>
    <w:p w14:paraId="65EC40ED" w14:textId="77777777" w:rsidR="00181592" w:rsidRDefault="001413A4">
      <w:pPr>
        <w:pStyle w:val="Odstavecseseznamem"/>
        <w:numPr>
          <w:ilvl w:val="2"/>
          <w:numId w:val="32"/>
        </w:numPr>
        <w:rPr>
          <w:bCs/>
          <w:i/>
          <w:color w:val="000000" w:themeColor="text1"/>
        </w:rPr>
      </w:pPr>
      <w:r>
        <w:rPr>
          <w:color w:val="000000" w:themeColor="text1"/>
        </w:rPr>
        <w:t>6 plných měsíčních záloh</w:t>
      </w:r>
    </w:p>
    <w:p w14:paraId="3383B265" w14:textId="77777777" w:rsidR="00181592" w:rsidRDefault="001413A4">
      <w:pPr>
        <w:pStyle w:val="Odstavecseseznamem"/>
        <w:numPr>
          <w:ilvl w:val="0"/>
          <w:numId w:val="32"/>
        </w:numPr>
        <w:rPr>
          <w:i/>
          <w:color w:val="000000" w:themeColor="text1"/>
        </w:rPr>
      </w:pPr>
      <w:r>
        <w:rPr>
          <w:i/>
          <w:color w:val="000000" w:themeColor="text1"/>
        </w:rPr>
        <w:t>sekundární zálohovací server</w:t>
      </w:r>
    </w:p>
    <w:p w14:paraId="5E5F8E8D" w14:textId="77777777" w:rsidR="00181592" w:rsidRDefault="001413A4">
      <w:pPr>
        <w:pStyle w:val="Odstavecseseznamem"/>
        <w:numPr>
          <w:ilvl w:val="1"/>
          <w:numId w:val="32"/>
        </w:numPr>
        <w:rPr>
          <w:color w:val="000000" w:themeColor="text1"/>
        </w:rPr>
      </w:pPr>
      <w:r>
        <w:rPr>
          <w:color w:val="000000" w:themeColor="text1"/>
        </w:rPr>
        <w:t>kopie záloh z primárního zálohovacího serveru</w:t>
      </w:r>
    </w:p>
    <w:p w14:paraId="12ECAA77" w14:textId="77777777" w:rsidR="00181592" w:rsidRDefault="001413A4">
      <w:pPr>
        <w:pStyle w:val="Odstavecseseznamem"/>
        <w:numPr>
          <w:ilvl w:val="0"/>
          <w:numId w:val="32"/>
        </w:numPr>
        <w:rPr>
          <w:i/>
          <w:color w:val="000000" w:themeColor="text1"/>
        </w:rPr>
      </w:pPr>
      <w:r>
        <w:rPr>
          <w:i/>
          <w:color w:val="000000" w:themeColor="text1"/>
        </w:rPr>
        <w:t>zálohování PACS na NAS</w:t>
      </w:r>
    </w:p>
    <w:p w14:paraId="1C5458A5" w14:textId="77777777" w:rsidR="00181592" w:rsidRDefault="001413A4">
      <w:pPr>
        <w:pStyle w:val="Odstavecseseznamem"/>
        <w:numPr>
          <w:ilvl w:val="1"/>
          <w:numId w:val="32"/>
        </w:numPr>
        <w:rPr>
          <w:i/>
          <w:color w:val="000000" w:themeColor="text1"/>
        </w:rPr>
      </w:pPr>
      <w:r>
        <w:rPr>
          <w:color w:val="000000" w:themeColor="text1"/>
        </w:rPr>
        <w:t>replikace záloh z virtuálních PACS serverů</w:t>
      </w:r>
    </w:p>
    <w:p w14:paraId="6AD97B5E" w14:textId="77777777" w:rsidR="00181592" w:rsidRDefault="00181592">
      <w:pPr>
        <w:pStyle w:val="Odstavecseseznamem"/>
        <w:ind w:left="1440"/>
        <w:rPr>
          <w:i/>
        </w:rPr>
      </w:pPr>
    </w:p>
    <w:p w14:paraId="345EC5A7" w14:textId="77777777" w:rsidR="00181592" w:rsidRDefault="00181592">
      <w:pPr>
        <w:pStyle w:val="Odstavecseseznamem"/>
        <w:ind w:left="1440"/>
        <w:rPr>
          <w:i/>
        </w:rPr>
      </w:pPr>
    </w:p>
    <w:p w14:paraId="32D15EED" w14:textId="77777777" w:rsidR="00181592" w:rsidRDefault="00181592">
      <w:pPr>
        <w:pStyle w:val="Odstavecseseznamem"/>
        <w:ind w:left="1440"/>
        <w:rPr>
          <w:i/>
        </w:rPr>
      </w:pPr>
    </w:p>
    <w:p w14:paraId="253379F9" w14:textId="77777777" w:rsidR="00181592" w:rsidRDefault="00181592">
      <w:pPr>
        <w:pStyle w:val="Odstavecseseznamem"/>
        <w:ind w:left="1440"/>
        <w:rPr>
          <w:i/>
        </w:rPr>
      </w:pPr>
    </w:p>
    <w:p w14:paraId="42DB110F" w14:textId="77777777" w:rsidR="00181592" w:rsidRDefault="00181592">
      <w:pPr>
        <w:pStyle w:val="Odstavecseseznamem"/>
        <w:ind w:left="1440"/>
        <w:rPr>
          <w:i/>
        </w:rPr>
      </w:pPr>
    </w:p>
    <w:p w14:paraId="692A50DA" w14:textId="77777777" w:rsidR="00181592" w:rsidRDefault="00181592">
      <w:pPr>
        <w:pStyle w:val="Odstavecseseznamem"/>
        <w:ind w:left="1440"/>
        <w:rPr>
          <w:i/>
        </w:rPr>
      </w:pPr>
    </w:p>
    <w:p w14:paraId="176CA453" w14:textId="77777777" w:rsidR="00181592" w:rsidRDefault="00181592">
      <w:pPr>
        <w:pStyle w:val="Odstavecseseznamem"/>
        <w:ind w:left="1440"/>
        <w:rPr>
          <w:i/>
        </w:rPr>
      </w:pPr>
    </w:p>
    <w:p w14:paraId="3DE8B18F" w14:textId="77777777" w:rsidR="00181592" w:rsidRDefault="00181592">
      <w:pPr>
        <w:pStyle w:val="Odstavecseseznamem"/>
        <w:ind w:left="1440"/>
        <w:rPr>
          <w:i/>
        </w:rPr>
      </w:pPr>
    </w:p>
    <w:p w14:paraId="22F097A3" w14:textId="77777777" w:rsidR="00181592" w:rsidRDefault="00181592">
      <w:pPr>
        <w:pStyle w:val="Odstavecseseznamem"/>
        <w:ind w:left="1440"/>
        <w:rPr>
          <w:i/>
        </w:rPr>
      </w:pPr>
    </w:p>
    <w:p w14:paraId="02F61625" w14:textId="77777777" w:rsidR="00181592" w:rsidRDefault="00181592">
      <w:pPr>
        <w:pStyle w:val="Odstavecseseznamem"/>
        <w:ind w:left="1440"/>
        <w:rPr>
          <w:i/>
        </w:rPr>
      </w:pPr>
    </w:p>
    <w:p w14:paraId="35BC3952" w14:textId="77777777" w:rsidR="00181592" w:rsidRDefault="00181592">
      <w:pPr>
        <w:pStyle w:val="Odstavecseseznamem"/>
        <w:ind w:left="1440"/>
        <w:rPr>
          <w:i/>
        </w:rPr>
      </w:pPr>
    </w:p>
    <w:p w14:paraId="10EFDB42" w14:textId="77777777" w:rsidR="00181592" w:rsidRDefault="00181592">
      <w:pPr>
        <w:pStyle w:val="Odstavecseseznamem"/>
        <w:ind w:left="1440"/>
        <w:rPr>
          <w:i/>
        </w:rPr>
      </w:pPr>
    </w:p>
    <w:p w14:paraId="5CBB1CA3" w14:textId="77777777" w:rsidR="00181592" w:rsidRDefault="00181592">
      <w:pPr>
        <w:pStyle w:val="Odstavecseseznamem"/>
        <w:ind w:left="1440"/>
        <w:rPr>
          <w:i/>
        </w:rPr>
      </w:pPr>
    </w:p>
    <w:p w14:paraId="114672C2" w14:textId="77777777" w:rsidR="00181592" w:rsidRDefault="00181592">
      <w:pPr>
        <w:pStyle w:val="Odstavecseseznamem"/>
        <w:ind w:left="1440"/>
        <w:rPr>
          <w:i/>
        </w:rPr>
      </w:pPr>
    </w:p>
    <w:p w14:paraId="56AD3246" w14:textId="77777777" w:rsidR="00181592" w:rsidRDefault="00181592">
      <w:pPr>
        <w:pStyle w:val="Odstavecseseznamem"/>
        <w:ind w:left="1440"/>
        <w:rPr>
          <w:i/>
        </w:rPr>
      </w:pPr>
    </w:p>
    <w:p w14:paraId="4D6E914E" w14:textId="77777777" w:rsidR="00181592" w:rsidRDefault="00181592">
      <w:pPr>
        <w:pStyle w:val="Odstavecseseznamem"/>
        <w:ind w:left="1440"/>
        <w:rPr>
          <w:i/>
        </w:rPr>
      </w:pPr>
    </w:p>
    <w:p w14:paraId="25C92A10" w14:textId="77777777" w:rsidR="00181592" w:rsidRDefault="001413A4">
      <w:pPr>
        <w:jc w:val="left"/>
      </w:pPr>
      <w:r>
        <w:rPr>
          <w:i/>
        </w:rPr>
        <w:t>Blokové schéma designu zálohování:</w:t>
      </w:r>
    </w:p>
    <w:p w14:paraId="315F81A7" w14:textId="77777777" w:rsidR="00181592" w:rsidRDefault="001413A4">
      <w:pPr>
        <w:spacing w:before="0" w:after="120" w:line="264" w:lineRule="auto"/>
      </w:pPr>
      <w:r>
        <w:rPr>
          <w:noProof/>
        </w:rPr>
        <w:drawing>
          <wp:inline distT="0" distB="0" distL="0" distR="0" wp14:anchorId="1B5F5E02" wp14:editId="34A6435A">
            <wp:extent cx="5759450" cy="382778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37FDB557" w14:textId="77777777" w:rsidR="00181592" w:rsidRDefault="001413A4">
      <w:pPr>
        <w:pStyle w:val="Nadpis2"/>
        <w:numPr>
          <w:ilvl w:val="0"/>
          <w:numId w:val="0"/>
        </w:numPr>
        <w:ind w:left="576"/>
      </w:pPr>
      <w:r>
        <w:lastRenderedPageBreak/>
        <w:t>Specifikace minimálních požadavků technického řešení</w:t>
      </w:r>
    </w:p>
    <w:p w14:paraId="1B22A3FF" w14:textId="77777777" w:rsidR="00181592" w:rsidRDefault="001413A4">
      <w:pPr>
        <w:pStyle w:val="Nadpis3"/>
        <w:numPr>
          <w:ilvl w:val="0"/>
          <w:numId w:val="0"/>
        </w:numPr>
      </w:pPr>
      <w:r>
        <w:t>Minimální požadavky na řešení infrastruktury pro zálohování včetně SW</w:t>
      </w:r>
    </w:p>
    <w:p w14:paraId="1AFA3BDD" w14:textId="77777777" w:rsidR="00181592" w:rsidRDefault="001413A4">
      <w:pPr>
        <w:pStyle w:val="Nadpis4"/>
        <w:numPr>
          <w:ilvl w:val="0"/>
          <w:numId w:val="0"/>
        </w:numPr>
      </w:pPr>
      <w:r>
        <w:t>Zálohovací server – 2x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181592" w14:paraId="0741618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590B" w14:textId="77777777" w:rsidR="00181592" w:rsidRDefault="001413A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FA09C" w14:textId="77777777" w:rsidR="00181592" w:rsidRDefault="001413A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zálohovacího serveru</w:t>
            </w:r>
          </w:p>
        </w:tc>
      </w:tr>
      <w:tr w:rsidR="00181592" w14:paraId="7D28CB4A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591A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Form Factor a vnitřní uspořádání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3673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pro přístup ke všem komponentám serveru není nutné nářadí, barevně značené hot-plug vnitřní komponenty a místa pro uchopení. Požadujeme uzamykatelný přední panel.</w:t>
            </w:r>
          </w:p>
        </w:tc>
      </w:tr>
      <w:tr w:rsidR="00181592" w14:paraId="4CAA3113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DD35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CPU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ED81" w14:textId="028B4023" w:rsidR="00181592" w:rsidRDefault="00BA48CB" w:rsidP="00BA48CB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Dvousocketový systém o</w:t>
            </w:r>
            <w:r w:rsidR="001413A4">
              <w:rPr>
                <w:sz w:val="16"/>
                <w:szCs w:val="16"/>
              </w:rPr>
              <w:t xml:space="preserve">sazený 2x CPU s min. 8 jader každý, o základní frekvenci min. 2.6GHz. Zároveň výkon těchto CPU, potažmo celého systému odpovídá minimálnímu hodnocenému výkonu v kategorii Base 160 bodů dle </w:t>
            </w:r>
            <w:hyperlink r:id="rId8" w:tgtFrame="http://www.spec.org/cpu2017/results/rint2017.html">
              <w:r w:rsidR="001413A4">
                <w:rPr>
                  <w:rStyle w:val="Hypertextovodkaz"/>
                  <w:sz w:val="16"/>
                  <w:szCs w:val="16"/>
                </w:rPr>
                <w:t>www.spec.org/cpu2017/results/rint2017.html</w:t>
              </w:r>
            </w:hyperlink>
            <w:r w:rsidR="001413A4">
              <w:rPr>
                <w:sz w:val="16"/>
                <w:szCs w:val="16"/>
              </w:rPr>
              <w:t xml:space="preserve"> </w:t>
            </w:r>
          </w:p>
        </w:tc>
      </w:tr>
      <w:tr w:rsidR="00181592" w14:paraId="18F43338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7D1F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RAM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D239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Požadovaná kapacita minimálně 128GB. Složená z DIMM DDR5 min. 4400MT/s.</w:t>
            </w:r>
          </w:p>
          <w:p w14:paraId="02DAA4E2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osazení až 16 paměťových modulů s maximální celkovou kapacitou minimálně 1 TB.</w:t>
            </w:r>
          </w:p>
        </w:tc>
      </w:tr>
      <w:tr w:rsidR="00181592" w14:paraId="6C0A42B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98E6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B12F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Server musí podporovat osazení min. 12 x 3,5 palcových disků SAS a SATA, požadujeme server osazený hot-plug disky pro data:</w:t>
            </w:r>
          </w:p>
          <w:p w14:paraId="54FD14D7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12x 24TB, 7.2k HDD, </w:t>
            </w:r>
            <w:r>
              <w:rPr>
                <w:rFonts w:ascii="ArialMT" w:hAnsi="ArialMT" w:cs="ArialMT"/>
                <w:color w:val="434343"/>
                <w:sz w:val="15"/>
                <w:szCs w:val="15"/>
              </w:rPr>
              <w:t>SAS</w:t>
            </w:r>
            <w:r>
              <w:rPr>
                <w:sz w:val="16"/>
                <w:szCs w:val="16"/>
              </w:rPr>
              <w:t xml:space="preserve"> </w:t>
            </w:r>
          </w:p>
          <w:p w14:paraId="0C1561DD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samostatný diskový prostor pro boot operačního systému osazený NVMe hot-plug disky o kapacitě:</w:t>
            </w:r>
          </w:p>
          <w:p w14:paraId="2B580D7D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960GB v RAID 1</w:t>
            </w:r>
          </w:p>
        </w:tc>
      </w:tr>
      <w:tr w:rsidR="00181592" w14:paraId="50F5F50A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12D6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Diskový řadič pro interní disky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589F7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typu SAS, PCI Express 4 kompatibilní</w:t>
            </w:r>
          </w:p>
          <w:p w14:paraId="025A83A1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RAID 0, 1, 5, 6, 10, 50, 60</w:t>
            </w:r>
          </w:p>
          <w:p w14:paraId="6578621F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12Gbps technologie rozhraní disků </w:t>
            </w:r>
          </w:p>
          <w:p w14:paraId="565926AA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Online Capacity Expansion (OCE)</w:t>
            </w:r>
          </w:p>
          <w:p w14:paraId="352D2BB7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4K native sector</w:t>
            </w:r>
          </w:p>
          <w:p w14:paraId="20F2CACC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SED disků a SSD disků</w:t>
            </w:r>
          </w:p>
          <w:p w14:paraId="1D5ABA3F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Fast initialization for quick array setup</w:t>
            </w:r>
          </w:p>
          <w:p w14:paraId="3CA7B6F6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S.M.A.R.T.</w:t>
            </w:r>
          </w:p>
          <w:p w14:paraId="0922DE6D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globálního i dedikovaného hot-spare</w:t>
            </w:r>
          </w:p>
          <w:p w14:paraId="19BBB405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8GB cache typu NV (cache to flash)</w:t>
            </w:r>
          </w:p>
        </w:tc>
      </w:tr>
      <w:tr w:rsidR="00181592" w14:paraId="2F2E6C97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5694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Diskový řadič pro připojení expanzních diskových polic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42C5C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typu SAS, PCI Express 4 kompatibilní</w:t>
            </w:r>
          </w:p>
          <w:p w14:paraId="0F566891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RAID 0, 1, 5, 6, 10, 50, 60</w:t>
            </w:r>
          </w:p>
          <w:p w14:paraId="00F63D6D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podpora 12Gbps technologie rozhraní disků </w:t>
            </w:r>
          </w:p>
          <w:p w14:paraId="019F324D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Online Capacity Expansion (OCE)</w:t>
            </w:r>
          </w:p>
          <w:p w14:paraId="53597430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4K native sector velikosti</w:t>
            </w:r>
          </w:p>
          <w:p w14:paraId="29CB2DF7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SED disků</w:t>
            </w:r>
          </w:p>
          <w:p w14:paraId="72AF23C2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Fast initialization for quick array setup</w:t>
            </w:r>
          </w:p>
          <w:p w14:paraId="43FBD12C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S.M.A.R.T</w:t>
            </w:r>
          </w:p>
          <w:p w14:paraId="2E945D07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globálního i dedikovaného hot-spare</w:t>
            </w:r>
          </w:p>
          <w:p w14:paraId="0CC1996E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8GB cache typu NV (cache to flash)</w:t>
            </w:r>
          </w:p>
          <w:p w14:paraId="7A27DA2A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plná kompatibilní s externími diskovými policemi</w:t>
            </w:r>
          </w:p>
          <w:p w14:paraId="65E968DA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připojení min. 4 kusů externích diskových polic</w:t>
            </w:r>
          </w:p>
          <w:p w14:paraId="46686D1B" w14:textId="77777777" w:rsidR="00181592" w:rsidRDefault="001413A4">
            <w:pPr>
              <w:pStyle w:val="Odstavecseseznamem"/>
              <w:widowControl w:val="0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podpora min. 48 pevných disků v policích</w:t>
            </w:r>
          </w:p>
        </w:tc>
      </w:tr>
      <w:tr w:rsidR="00181592" w14:paraId="42F8203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8B725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Síťové rozhraní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6DB90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x 1 Gb port Ethernet</w:t>
            </w:r>
          </w:p>
          <w:p w14:paraId="2501E3FA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x 10 Gb port Ethernet</w:t>
            </w:r>
          </w:p>
          <w:p w14:paraId="5493BE4B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x 32 Gb Fibre Channel včetně FC modulů</w:t>
            </w:r>
          </w:p>
        </w:tc>
      </w:tr>
      <w:tr w:rsidR="00181592" w14:paraId="0766258D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613C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008E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Plně redundantní síťové napájecí zdroje min. 1100W Titanium, zajišťující maximální výkon serveru i při výpadku jednoho zdroje a s možností nastavení limitů výkonu a spotřeby v BIOSu (Power Budgeting) 96% účinnost při zatížení 50%</w:t>
            </w:r>
          </w:p>
        </w:tc>
      </w:tr>
      <w:tr w:rsidR="00181592" w14:paraId="4AD6B8F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B3D27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Interface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60471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x USB (1 vpředu, 2 vzadu), min. 1x USB 3.0</w:t>
            </w:r>
          </w:p>
          <w:p w14:paraId="238545E2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x VGA (1 vpředu, 1 vzadu)</w:t>
            </w:r>
          </w:p>
        </w:tc>
      </w:tr>
      <w:tr w:rsidR="00181592" w14:paraId="457FB51E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52C5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Rozšiřující sloty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2464" w14:textId="77777777" w:rsidR="00181592" w:rsidRDefault="001413A4">
            <w:pPr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 1x PCIe x8, min. 1x PCIe x16</w:t>
            </w:r>
          </w:p>
        </w:tc>
      </w:tr>
      <w:tr w:rsidR="00181592" w14:paraId="070196E3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20DB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4D0B" w14:textId="77777777" w:rsidR="00181592" w:rsidRDefault="001413A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Zásuvné ližiny s ramenem pro vedení kabelů</w:t>
            </w:r>
          </w:p>
        </w:tc>
      </w:tr>
      <w:tr w:rsidR="00181592" w14:paraId="29334F54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6278D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490D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Canonical Ubuntu Server LTS</w:t>
            </w:r>
          </w:p>
          <w:p w14:paraId="6A876916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Microsoft Windows Server with Hyper-V</w:t>
            </w:r>
          </w:p>
          <w:p w14:paraId="67D76A73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Red Hat Enterprise Linux</w:t>
            </w:r>
          </w:p>
          <w:p w14:paraId="4E1BA87A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SUSE Linux Enterprise Server</w:t>
            </w:r>
          </w:p>
          <w:p w14:paraId="161B1CFA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VMware ESXi</w:t>
            </w:r>
          </w:p>
        </w:tc>
      </w:tr>
      <w:tr w:rsidR="00181592" w14:paraId="7A736AA6" w14:textId="77777777">
        <w:trPr>
          <w:trHeight w:val="3109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1F4F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lastRenderedPageBreak/>
              <w:t>Management a vzdálená správa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F2B6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3D84283A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 podporou failoveru na jinou síťovou kartu v serveru, musí podporovat VLAN a LLDP Discovery síťové infrastruktury, protokolů IPv4 a IPv6</w:t>
            </w:r>
          </w:p>
          <w:p w14:paraId="1208196E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(Agentless Management Service). Tento požadavek se týká i diskového systému, včetně přístupu k nastavení RAID řadičů, SAS HBA či případných expanzních diskových polic serveru. V případě síťových karet na desce či mezzanine kartě, musí být v managementu možnost monitorování až do úrovně případných optický modulů (SFP) osazených v těchto kartách</w:t>
            </w:r>
          </w:p>
          <w:p w14:paraId="5BC45B10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vestavěný HTML5 server pro správu bez nutnosti instalace ActiveX nebo Java pluginů, platí i pro vzdálenou konzoli KVM over IP</w:t>
            </w:r>
          </w:p>
          <w:p w14:paraId="16E6674E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musí průběžně vyhodnocovat průměrné vytížení serveru s grafickým zobrazením v HTML5 GUI a možností alertů v případě excesů</w:t>
            </w:r>
          </w:p>
          <w:p w14:paraId="2015E3CB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02D0AF07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přístup po SSL, Telnetu, SNMP a RESTful API s podporou Redfish SSE </w:t>
            </w:r>
          </w:p>
          <w:p w14:paraId="1AD74F93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multifaktorové autentizace, podpora MS AD a generického LDAP</w:t>
            </w:r>
          </w:p>
          <w:p w14:paraId="51147E70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streamingu údajů senzorů serveru, telemetrie a reportů o provozu pro účely prediktivního vyhodnocování provozu a zabezpečení s podporou pro Splunk nebo ELK stack</w:t>
            </w:r>
          </w:p>
          <w:p w14:paraId="1A437CD6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Syslog serveru. Logy zaznamenávají stavy hardwarových sensorů (stav, teplota, napětí, …) včetně událostí o přihlášení a změnách konfigurace</w:t>
            </w:r>
          </w:p>
          <w:p w14:paraId="2A18D1AB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uzamčení stavu serveru pro zvýšení bezpečnosti (System Lock Down), automatický Secure OS recovery včetně BIOS serveru a firmware BMC, firmware rollback</w:t>
            </w:r>
          </w:p>
          <w:p w14:paraId="1530623E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7C35A52F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serverových konfiguračních profilů pro kompletně automatický deployment serverů vzdáleně i lokálně (Zero Touch deployment)</w:t>
            </w:r>
          </w:p>
          <w:p w14:paraId="310EF2E9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musí umět poskytovat ovladače instalovaným operačním systémům bez speciální dedikované partition na interních discích serveru a nezávisle na těchto discích (úložiště nezávislé na OS) a hardware firmware update s možností ověření a stažení aktuálních verzí proti online repository výrobce, případně zabezpečenému lokálnímu repository pod správou administrátora</w:t>
            </w:r>
          </w:p>
          <w:p w14:paraId="2589B1C8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musí umět poskytovat FW zařízením a kartám instalovaných v serveru, s možností automatické obnovy používané verze a konfigurace v případě výměny zařízení / karty z důvodu servisního zásahu, včetně konfigurace biosu a samotného managementu. Vzdálený mount úložiště není dostatečný, z důvodu případné nízké propustnosti správcova připojení.</w:t>
            </w:r>
          </w:p>
          <w:p w14:paraId="2E761708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master-slave (či active-pasive) a podporovat min. 100 serverů ve skupině</w:t>
            </w:r>
          </w:p>
          <w:p w14:paraId="035E4B6D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musí mít vestavěnu funkcionalitu automatického odeslání vzniklých chybových stavů na helpdesk výrobce serverů a automatického vytvoření servisního incidentu, na základě, kterého se automaticky rozběhne servisní zásah (call-home)</w:t>
            </w:r>
          </w:p>
          <w:p w14:paraId="53804CF1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7C14AA2A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vzdálený reset, reboot s korektním ukončením OS, vypnutí a zapnutí serveru, včetně odpojení zdrojů (power cycle)</w:t>
            </w:r>
          </w:p>
          <w:p w14:paraId="3FD10DAF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5206D94D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licence OOB managementu musí být pro server trvalá (life time), pokud je vyžadována. Výrobce udržuje databázi zakoupených licencí přístupnou kupujícímu, tak aby ji bylo možné v případě výměny HW kdykoliv obnovit, pokud dojte ke ztrátě</w:t>
            </w:r>
          </w:p>
          <w:p w14:paraId="6BCB39EF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6E7A734B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připojeného vzdáleného uživatele</w:t>
            </w:r>
          </w:p>
          <w:p w14:paraId="6AA5EC9E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vzdálená identifikace serveru</w:t>
            </w:r>
          </w:p>
        </w:tc>
      </w:tr>
      <w:tr w:rsidR="00181592" w14:paraId="77DCDDB1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48CF" w14:textId="052024D5" w:rsidR="00181592" w:rsidRDefault="0047586F" w:rsidP="0047586F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lastRenderedPageBreak/>
              <w:t>Záruka a p</w:t>
            </w:r>
            <w:r w:rsidR="001413A4">
              <w:rPr>
                <w:rFonts w:cs="Arial"/>
                <w:color w:val="000000"/>
                <w:sz w:val="18"/>
                <w:szCs w:val="18"/>
                <w:lang w:eastAsia="en-US"/>
              </w:rPr>
              <w:t>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F343" w14:textId="7FFF3F5F" w:rsidR="00181592" w:rsidRDefault="0047586F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1413A4">
              <w:rPr>
                <w:sz w:val="16"/>
                <w:szCs w:val="16"/>
              </w:rPr>
              <w:t xml:space="preserve">echnická podpora </w:t>
            </w:r>
            <w:r>
              <w:rPr>
                <w:sz w:val="16"/>
                <w:szCs w:val="16"/>
              </w:rPr>
              <w:t>minimálně na 2</w:t>
            </w:r>
            <w:r w:rsidR="001413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roky</w:t>
            </w:r>
            <w:r w:rsidR="001413A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>technická podpora</w:t>
            </w:r>
            <w:r w:rsidR="001413A4">
              <w:rPr>
                <w:sz w:val="16"/>
                <w:szCs w:val="16"/>
              </w:rPr>
              <w:t xml:space="preserve"> 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5508FE72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55164297" w14:textId="4282846A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</w:t>
            </w:r>
            <w:r w:rsidR="00C6126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vatel se zaváže, že zařízení a veškeré jeho komponenty:</w:t>
            </w:r>
          </w:p>
          <w:p w14:paraId="52059044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3A7C72BF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534ACE65" w14:textId="77777777" w:rsidR="00181592" w:rsidRDefault="001413A4">
            <w:pPr>
              <w:pStyle w:val="Odstavecseseznamem"/>
              <w:widowControl w:val="0"/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6F31C9CE" w14:textId="77777777" w:rsidR="00181592" w:rsidRDefault="00181592"/>
    <w:p w14:paraId="6417E370" w14:textId="77777777" w:rsidR="00181592" w:rsidRDefault="001413A4">
      <w:pPr>
        <w:spacing w:before="0" w:after="120" w:line="264" w:lineRule="auto"/>
        <w:jc w:val="left"/>
      </w:pPr>
      <w:r>
        <w:br w:type="page"/>
      </w:r>
    </w:p>
    <w:p w14:paraId="037D266B" w14:textId="77777777" w:rsidR="00181592" w:rsidRDefault="001413A4">
      <w:pPr>
        <w:pStyle w:val="Nadpis4"/>
        <w:numPr>
          <w:ilvl w:val="0"/>
          <w:numId w:val="0"/>
        </w:numPr>
      </w:pPr>
      <w:r>
        <w:lastRenderedPageBreak/>
        <w:t>Expanzní disková jednotka k zálohovacím serverům – 4x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181592" w14:paraId="391B1630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8B78" w14:textId="77777777" w:rsidR="00181592" w:rsidRDefault="001413A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E6811" w14:textId="77777777" w:rsidR="00181592" w:rsidRDefault="001413A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diskové police</w:t>
            </w:r>
          </w:p>
        </w:tc>
      </w:tr>
      <w:tr w:rsidR="00181592" w14:paraId="3428A133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F0A40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Form Factor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18C9" w14:textId="77777777" w:rsidR="00181592" w:rsidRDefault="001413A4">
            <w:pPr>
              <w:pStyle w:val="Odstavecseseznamem"/>
              <w:widowControl w:val="0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požadujeme uzamykatelný přední panel.</w:t>
            </w:r>
          </w:p>
        </w:tc>
      </w:tr>
      <w:tr w:rsidR="00181592" w14:paraId="7EF4A13A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F4A0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6277" w14:textId="77777777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Disková police musí podporovat osazení min. 12 x 3,5 palcových hot-plug disků SAS, požadujeme server osazený hot-plug disky pro data::</w:t>
            </w:r>
          </w:p>
          <w:p w14:paraId="092B1586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12x 24TB, 7.2k HDD, </w:t>
            </w:r>
            <w:r>
              <w:rPr>
                <w:rFonts w:ascii="ArialMT" w:hAnsi="ArialMT" w:cs="ArialMT"/>
                <w:color w:val="434343"/>
                <w:sz w:val="15"/>
                <w:szCs w:val="15"/>
              </w:rPr>
              <w:t>SAS</w:t>
            </w:r>
            <w:r>
              <w:rPr>
                <w:sz w:val="16"/>
                <w:szCs w:val="16"/>
              </w:rPr>
              <w:t xml:space="preserve"> </w:t>
            </w:r>
          </w:p>
          <w:p w14:paraId="54E56230" w14:textId="77777777" w:rsidR="00181592" w:rsidRDefault="00181592">
            <w:pPr>
              <w:pStyle w:val="Odstavecseseznamem"/>
              <w:widowControl w:val="0"/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181592" w14:paraId="4D800309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2D74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Rozhraní pro připojení k řadiči serveru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E6687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Minimálně 12 Gb SAS</w:t>
            </w:r>
          </w:p>
        </w:tc>
      </w:tr>
      <w:tr w:rsidR="00181592" w14:paraId="538353D6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160BD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8FECA" w14:textId="77777777" w:rsidR="00181592" w:rsidRDefault="001413A4">
            <w:pPr>
              <w:pStyle w:val="Odstavecseseznamem"/>
              <w:widowControl w:val="0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Plně redundantní síťové napájecí zdroje min. 800W </w:t>
            </w:r>
          </w:p>
        </w:tc>
      </w:tr>
      <w:tr w:rsidR="00181592" w14:paraId="3BA50EB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2B61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24FF" w14:textId="77777777" w:rsidR="00181592" w:rsidRDefault="001413A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Ližiny pro montáž do</w:t>
            </w:r>
            <w:r>
              <w:t xml:space="preserve"> </w:t>
            </w:r>
            <w:r>
              <w:rPr>
                <w:sz w:val="16"/>
                <w:szCs w:val="16"/>
              </w:rPr>
              <w:t>standardního 19“ racku</w:t>
            </w:r>
          </w:p>
        </w:tc>
      </w:tr>
      <w:tr w:rsidR="00181592" w14:paraId="1101672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937F" w14:textId="77777777" w:rsidR="00181592" w:rsidRDefault="001413A4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4E5F" w14:textId="77777777" w:rsidR="00181592" w:rsidRDefault="001413A4">
            <w:pPr>
              <w:pStyle w:val="Odstavecseseznamem"/>
              <w:widowControl w:val="0"/>
              <w:numPr>
                <w:ilvl w:val="0"/>
                <w:numId w:val="35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Plná kompatibilita s řadičem připojeného serveru</w:t>
            </w:r>
          </w:p>
        </w:tc>
      </w:tr>
      <w:tr w:rsidR="00181592" w14:paraId="41E252DE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0334A" w14:textId="1BACD785" w:rsidR="00181592" w:rsidRDefault="00B37EEF">
            <w:pPr>
              <w:widowControl w:val="0"/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Záruka a podpora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8716" w14:textId="3D767F49" w:rsidR="00181592" w:rsidRDefault="00B37EEF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1413A4">
              <w:rPr>
                <w:sz w:val="16"/>
                <w:szCs w:val="16"/>
              </w:rPr>
              <w:t xml:space="preserve">echnická podpora </w:t>
            </w:r>
            <w:r>
              <w:rPr>
                <w:sz w:val="16"/>
                <w:szCs w:val="16"/>
              </w:rPr>
              <w:t>minimálně na 2</w:t>
            </w:r>
            <w:r w:rsidR="001413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roky</w:t>
            </w:r>
            <w:r w:rsidR="001413A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 xml:space="preserve">technická </w:t>
            </w:r>
            <w:r w:rsidR="001413A4">
              <w:rPr>
                <w:sz w:val="16"/>
                <w:szCs w:val="16"/>
              </w:rPr>
              <w:t xml:space="preserve">podpora  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6A770B5D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73FBEDB6" w14:textId="47F2DCEB" w:rsidR="00181592" w:rsidRDefault="00141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Dodavatel se zaváže, že zařízení a veškeré jeho komponenty:</w:t>
            </w:r>
          </w:p>
          <w:p w14:paraId="22DB53C8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5329F273" w14:textId="77777777" w:rsidR="00181592" w:rsidRDefault="001413A4">
            <w:pPr>
              <w:pStyle w:val="Odstavecseseznamem"/>
              <w:widowControl w:val="0"/>
              <w:numPr>
                <w:ilvl w:val="0"/>
                <w:numId w:val="36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0B471AF8" w14:textId="77777777" w:rsidR="00181592" w:rsidRDefault="001413A4">
            <w:pPr>
              <w:pStyle w:val="Odstavecseseznamem"/>
              <w:widowControl w:val="0"/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2291E006" w14:textId="77777777" w:rsidR="00181592" w:rsidRDefault="00181592">
      <w:pPr>
        <w:spacing w:before="0" w:after="120" w:line="264" w:lineRule="auto"/>
        <w:jc w:val="left"/>
      </w:pPr>
    </w:p>
    <w:p w14:paraId="514C03B2" w14:textId="77777777" w:rsidR="00181592" w:rsidRDefault="001413A4">
      <w:pPr>
        <w:pStyle w:val="Nadpis4"/>
        <w:numPr>
          <w:ilvl w:val="0"/>
          <w:numId w:val="0"/>
        </w:numPr>
      </w:pPr>
      <w:r>
        <w:t>Síťové úložiště určené pro zálohování PACS - Network Attached Storage (NAS) – 1ks</w:t>
      </w:r>
    </w:p>
    <w:tbl>
      <w:tblPr>
        <w:tblStyle w:val="Mkatabulky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6525"/>
      </w:tblGrid>
      <w:tr w:rsidR="00181592" w14:paraId="271E5721" w14:textId="77777777">
        <w:trPr>
          <w:trHeight w:val="409"/>
          <w:jc w:val="center"/>
        </w:trPr>
        <w:tc>
          <w:tcPr>
            <w:tcW w:w="2547" w:type="dxa"/>
            <w:shd w:val="clear" w:color="BFBFBF" w:fill="BFBFBF"/>
            <w:vAlign w:val="center"/>
          </w:tcPr>
          <w:p w14:paraId="6C36A25F" w14:textId="77777777" w:rsidR="00181592" w:rsidRDefault="001413A4">
            <w:pPr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Požadovaná funkcionalita</w:t>
            </w:r>
          </w:p>
        </w:tc>
        <w:tc>
          <w:tcPr>
            <w:tcW w:w="6524" w:type="dxa"/>
            <w:shd w:val="clear" w:color="BFBFBF" w:fill="BFBFBF"/>
            <w:vAlign w:val="center"/>
          </w:tcPr>
          <w:p w14:paraId="07000722" w14:textId="77777777" w:rsidR="00181592" w:rsidRDefault="001413A4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Specifikace minimálních požadavků</w:t>
            </w:r>
          </w:p>
        </w:tc>
      </w:tr>
      <w:tr w:rsidR="00181592" w14:paraId="5B87CE8D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5201542B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Velikost zařízení</w:t>
            </w:r>
          </w:p>
        </w:tc>
        <w:tc>
          <w:tcPr>
            <w:tcW w:w="6524" w:type="dxa"/>
            <w:vAlign w:val="center"/>
          </w:tcPr>
          <w:p w14:paraId="1806E4E4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maximálně 2U</w:t>
            </w:r>
          </w:p>
        </w:tc>
      </w:tr>
      <w:tr w:rsidR="00181592" w14:paraId="1CCCC392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040BDB42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Provedení</w:t>
            </w:r>
          </w:p>
        </w:tc>
        <w:tc>
          <w:tcPr>
            <w:tcW w:w="6524" w:type="dxa"/>
            <w:vAlign w:val="center"/>
          </w:tcPr>
          <w:p w14:paraId="55E712E5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V Rackovém provedení tzn. umožňující instalaci do standardního 19“ racku včetně montážních ližin</w:t>
            </w:r>
          </w:p>
        </w:tc>
      </w:tr>
      <w:tr w:rsidR="00181592" w14:paraId="6907CC2A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76776C7C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Min. počet slotů pro disky v základní jednotce</w:t>
            </w:r>
          </w:p>
        </w:tc>
        <w:tc>
          <w:tcPr>
            <w:tcW w:w="6524" w:type="dxa"/>
            <w:vAlign w:val="center"/>
          </w:tcPr>
          <w:p w14:paraId="5E89D6F1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Min. 12 ks 3.5" SATA HDD, hot-plug technologie.</w:t>
            </w:r>
          </w:p>
        </w:tc>
      </w:tr>
      <w:tr w:rsidR="00181592" w14:paraId="171D4163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6B3067AF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Diskový subsystém</w:t>
            </w:r>
          </w:p>
        </w:tc>
        <w:tc>
          <w:tcPr>
            <w:tcW w:w="6524" w:type="dxa"/>
            <w:vAlign w:val="center"/>
          </w:tcPr>
          <w:p w14:paraId="3B068B27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Diskové pole musí být osazeno minimálně:</w:t>
            </w:r>
          </w:p>
          <w:p w14:paraId="05152446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10x 8 TB 3.5", 7200 ot., SATA HDD</w:t>
            </w:r>
          </w:p>
        </w:tc>
      </w:tr>
      <w:tr w:rsidR="00181592" w14:paraId="37CA1A9A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58623008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Management</w:t>
            </w:r>
          </w:p>
        </w:tc>
        <w:tc>
          <w:tcPr>
            <w:tcW w:w="6524" w:type="dxa"/>
            <w:vAlign w:val="center"/>
          </w:tcPr>
          <w:p w14:paraId="49D97E2B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součástí je plný grafický management pro konfiguraci, správu, monitorování, sledování výkonu apod.</w:t>
            </w:r>
          </w:p>
        </w:tc>
      </w:tr>
      <w:tr w:rsidR="00181592" w14:paraId="4963FBA4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5F6B5DC2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Procesor a paměti</w:t>
            </w:r>
          </w:p>
        </w:tc>
        <w:tc>
          <w:tcPr>
            <w:tcW w:w="6524" w:type="dxa"/>
            <w:vAlign w:val="center"/>
          </w:tcPr>
          <w:p w14:paraId="34F8D72F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Výkonný CPU (minimálně 6 jader) a min. 32 GB RAM DDR4 ECC s možností dalšího rozšíření až na 64 GB</w:t>
            </w:r>
          </w:p>
        </w:tc>
      </w:tr>
      <w:tr w:rsidR="00181592" w14:paraId="0EF02F9E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1BB9AD0E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Konektivita</w:t>
            </w:r>
          </w:p>
        </w:tc>
        <w:tc>
          <w:tcPr>
            <w:tcW w:w="6524" w:type="dxa"/>
            <w:vAlign w:val="center"/>
          </w:tcPr>
          <w:p w14:paraId="3D30A9D5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 xml:space="preserve">min. 4x 1 </w:t>
            </w:r>
            <w:r>
              <w:rPr>
                <w:sz w:val="16"/>
                <w:szCs w:val="16"/>
              </w:rPr>
              <w:t>Gb port Ethernet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, minimálně 2x 10 </w:t>
            </w:r>
            <w:r>
              <w:rPr>
                <w:sz w:val="16"/>
                <w:szCs w:val="16"/>
              </w:rPr>
              <w:t>Gb port Ethernet</w:t>
            </w:r>
          </w:p>
        </w:tc>
      </w:tr>
      <w:tr w:rsidR="00181592" w14:paraId="1B785D4C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2F5F6EB5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lastRenderedPageBreak/>
              <w:t>Podpora interního systému souborů</w:t>
            </w:r>
          </w:p>
        </w:tc>
        <w:tc>
          <w:tcPr>
            <w:tcW w:w="6524" w:type="dxa"/>
            <w:vAlign w:val="center"/>
          </w:tcPr>
          <w:p w14:paraId="7B26D2F8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EXT4, Btrfs</w:t>
            </w:r>
          </w:p>
        </w:tc>
      </w:tr>
      <w:tr w:rsidR="00181592" w14:paraId="7082B2FC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739FE0FB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Kabelové příslušenství a konektorové moduly</w:t>
            </w:r>
          </w:p>
        </w:tc>
        <w:tc>
          <w:tcPr>
            <w:tcW w:w="6524" w:type="dxa"/>
            <w:vAlign w:val="center"/>
          </w:tcPr>
          <w:p w14:paraId="5786FC1C" w14:textId="4B11FFE8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Součástí dodávky bude kompletní vybavení pro připojení do dodávaného funkčního celku</w:t>
            </w:r>
          </w:p>
        </w:tc>
      </w:tr>
      <w:tr w:rsidR="00181592" w14:paraId="214C1466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61194E34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Raid podpora</w:t>
            </w:r>
          </w:p>
        </w:tc>
        <w:tc>
          <w:tcPr>
            <w:tcW w:w="6524" w:type="dxa"/>
            <w:vAlign w:val="center"/>
          </w:tcPr>
          <w:p w14:paraId="22DA0705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RAID podpora 0, 1, 5, 6, 10</w:t>
            </w:r>
          </w:p>
        </w:tc>
      </w:tr>
      <w:tr w:rsidR="00181592" w14:paraId="7CE744C7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7EB74EC3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Kompatibilita se stávajícím prostředím</w:t>
            </w:r>
          </w:p>
        </w:tc>
        <w:tc>
          <w:tcPr>
            <w:tcW w:w="6524" w:type="dxa"/>
            <w:vAlign w:val="center"/>
          </w:tcPr>
          <w:p w14:paraId="59559A81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Microsoft Windows Server 2019, 2022</w:t>
            </w:r>
          </w:p>
          <w:p w14:paraId="441536E2" w14:textId="77777777" w:rsidR="00181592" w:rsidRDefault="001413A4">
            <w:pPr>
              <w:jc w:val="left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VMware</w:t>
            </w:r>
          </w:p>
        </w:tc>
      </w:tr>
      <w:tr w:rsidR="00181592" w14:paraId="485C2D60" w14:textId="77777777">
        <w:trPr>
          <w:trHeight w:val="722"/>
          <w:jc w:val="center"/>
        </w:trPr>
        <w:tc>
          <w:tcPr>
            <w:tcW w:w="2547" w:type="dxa"/>
            <w:vAlign w:val="center"/>
          </w:tcPr>
          <w:p w14:paraId="4F468DD6" w14:textId="77777777" w:rsidR="00181592" w:rsidRDefault="001413A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Instalace a konfigurace</w:t>
            </w:r>
          </w:p>
        </w:tc>
        <w:tc>
          <w:tcPr>
            <w:tcW w:w="6524" w:type="dxa"/>
            <w:vAlign w:val="center"/>
          </w:tcPr>
          <w:p w14:paraId="60BC3B35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vytvoření vhodné RAID konfigurace </w:t>
            </w:r>
          </w:p>
          <w:p w14:paraId="303852BF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montáž NAS do racku</w:t>
            </w:r>
          </w:p>
          <w:p w14:paraId="7BCB31D7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připojení do LAN</w:t>
            </w:r>
          </w:p>
          <w:p w14:paraId="3D43F7BF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instalace aktuálních verzí firmware</w:t>
            </w:r>
          </w:p>
          <w:p w14:paraId="738430ED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konfigurace managementu a vzdálené správy</w:t>
            </w:r>
          </w:p>
          <w:p w14:paraId="3155EC6F" w14:textId="77777777" w:rsidR="00181592" w:rsidRDefault="001413A4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vytvoření diskových oddílů a jejich publikace produkčním serverům pro ukládání replik a záloh virtuálních serverů</w:t>
            </w:r>
          </w:p>
        </w:tc>
      </w:tr>
      <w:tr w:rsidR="00181592" w14:paraId="338C0739" w14:textId="77777777">
        <w:trPr>
          <w:trHeight w:val="722"/>
          <w:jc w:val="center"/>
        </w:trPr>
        <w:tc>
          <w:tcPr>
            <w:tcW w:w="2547" w:type="dxa"/>
          </w:tcPr>
          <w:p w14:paraId="1345878E" w14:textId="77777777" w:rsidR="00181592" w:rsidRDefault="001413A4">
            <w:pPr>
              <w:jc w:val="left"/>
              <w:rPr>
                <w:rFonts w:cs="Arial"/>
                <w:color w:val="000000"/>
                <w:highlight w:val="white"/>
              </w:rPr>
            </w:pPr>
            <w:r>
              <w:rPr>
                <w:rFonts w:cs="Arial"/>
                <w:color w:val="000000"/>
                <w:sz w:val="18"/>
                <w:szCs w:val="18"/>
                <w:highlight w:val="white"/>
              </w:rPr>
              <w:t>Záruka a servisní podpora</w:t>
            </w:r>
          </w:p>
        </w:tc>
        <w:tc>
          <w:tcPr>
            <w:tcW w:w="6524" w:type="dxa"/>
          </w:tcPr>
          <w:p w14:paraId="6D6E1798" w14:textId="29030780" w:rsidR="00181592" w:rsidRDefault="001413A4" w:rsidP="00F926D2">
            <w:pPr>
              <w:jc w:val="left"/>
              <w:rPr>
                <w:rFonts w:cs="Arial"/>
                <w:highlight w:val="white"/>
              </w:rPr>
            </w:pPr>
            <w:r>
              <w:rPr>
                <w:rFonts w:cs="Arial"/>
                <w:sz w:val="18"/>
                <w:szCs w:val="18"/>
                <w:highlight w:val="white"/>
              </w:rPr>
              <w:t xml:space="preserve">Support na HW a SW musí být poskytován samotným výrobcem HW a SW v režimu 8x5 NBD replacement v délce minimálně </w:t>
            </w:r>
            <w:r w:rsidR="00F926D2">
              <w:rPr>
                <w:rFonts w:cs="Arial"/>
                <w:sz w:val="18"/>
                <w:szCs w:val="18"/>
                <w:highlight w:val="white"/>
              </w:rPr>
              <w:t>2</w:t>
            </w:r>
            <w:r>
              <w:rPr>
                <w:rFonts w:cs="Arial"/>
                <w:sz w:val="18"/>
                <w:szCs w:val="18"/>
                <w:highlight w:val="white"/>
              </w:rPr>
              <w:t xml:space="preserve"> let. Po celou bodu platné podpory musí být k dispozici všechny updaty i upgrady nabízeného software a dodávka vadného HW.</w:t>
            </w:r>
          </w:p>
        </w:tc>
      </w:tr>
    </w:tbl>
    <w:p w14:paraId="1DFDE9DB" w14:textId="77777777" w:rsidR="00181592" w:rsidRDefault="00181592">
      <w:pPr>
        <w:spacing w:before="0" w:after="120" w:line="264" w:lineRule="auto"/>
        <w:jc w:val="left"/>
        <w:rPr>
          <w:b/>
        </w:rPr>
      </w:pPr>
    </w:p>
    <w:p w14:paraId="3101295C" w14:textId="77777777" w:rsidR="00181592" w:rsidRDefault="001413A4">
      <w:pPr>
        <w:rPr>
          <w:b/>
        </w:rPr>
      </w:pPr>
      <w:r>
        <w:br w:type="page"/>
      </w:r>
    </w:p>
    <w:p w14:paraId="149C8E1C" w14:textId="77777777" w:rsidR="00181592" w:rsidRDefault="001413A4">
      <w:pPr>
        <w:pStyle w:val="Nadpis4"/>
        <w:numPr>
          <w:ilvl w:val="0"/>
          <w:numId w:val="0"/>
        </w:numPr>
      </w:pPr>
      <w:r>
        <w:lastRenderedPageBreak/>
        <w:t>Zálohovací software – 1ks</w:t>
      </w:r>
    </w:p>
    <w:tbl>
      <w:tblPr>
        <w:tblStyle w:val="Mkatabul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56"/>
        <w:gridCol w:w="7258"/>
      </w:tblGrid>
      <w:tr w:rsidR="00181592" w14:paraId="7C29ACB9" w14:textId="77777777">
        <w:trPr>
          <w:trHeight w:val="409"/>
        </w:trPr>
        <w:tc>
          <w:tcPr>
            <w:tcW w:w="1956" w:type="dxa"/>
            <w:shd w:val="clear" w:color="BFBFBF" w:fill="BFBFBF" w:themeFill="background1" w:themeFillShade="BF"/>
            <w:vAlign w:val="center"/>
          </w:tcPr>
          <w:p w14:paraId="550479EC" w14:textId="77777777" w:rsidR="00181592" w:rsidRDefault="001413A4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Požadovaná funkcionalita</w:t>
            </w:r>
          </w:p>
        </w:tc>
        <w:tc>
          <w:tcPr>
            <w:tcW w:w="7257" w:type="dxa"/>
            <w:shd w:val="clear" w:color="BFBFBF" w:fill="BFBFBF" w:themeFill="background1" w:themeFillShade="BF"/>
            <w:vAlign w:val="center"/>
          </w:tcPr>
          <w:p w14:paraId="27C643F4" w14:textId="77777777" w:rsidR="00181592" w:rsidRDefault="001413A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Specifikace minimálních požadavků</w:t>
            </w:r>
          </w:p>
        </w:tc>
      </w:tr>
      <w:tr w:rsidR="00181592" w14:paraId="0CF732B6" w14:textId="77777777">
        <w:trPr>
          <w:trHeight w:val="722"/>
        </w:trPr>
        <w:tc>
          <w:tcPr>
            <w:tcW w:w="1956" w:type="dxa"/>
            <w:vAlign w:val="center"/>
          </w:tcPr>
          <w:p w14:paraId="65D4212D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Otevřené rozhraní a přístup</w:t>
            </w:r>
          </w:p>
        </w:tc>
        <w:tc>
          <w:tcPr>
            <w:tcW w:w="7257" w:type="dxa"/>
            <w:vAlign w:val="center"/>
          </w:tcPr>
          <w:p w14:paraId="1609B1D0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Podpora otevřených rozhraní a přístup do systému třetím stranám pomocí dokumentovaného API.</w:t>
            </w:r>
          </w:p>
        </w:tc>
      </w:tr>
      <w:tr w:rsidR="00181592" w14:paraId="1B2EC9D9" w14:textId="77777777">
        <w:trPr>
          <w:trHeight w:val="722"/>
        </w:trPr>
        <w:tc>
          <w:tcPr>
            <w:tcW w:w="1956" w:type="dxa"/>
            <w:vAlign w:val="center"/>
          </w:tcPr>
          <w:p w14:paraId="026121C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Management a centrální správa</w:t>
            </w:r>
          </w:p>
        </w:tc>
        <w:tc>
          <w:tcPr>
            <w:tcW w:w="7257" w:type="dxa"/>
            <w:vAlign w:val="center"/>
          </w:tcPr>
          <w:p w14:paraId="635A52FE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Centrální správa s podporou sledování zálohování. Tvorba scénářů zálohování, tvorba zálohovacích úloh, sledování průběhu zálohováním, sledování využití diskových a páskových kapacit, přehled o úložištích a páskových robotech, sledování probíhajících úloh.</w:t>
            </w:r>
          </w:p>
        </w:tc>
      </w:tr>
      <w:tr w:rsidR="00181592" w14:paraId="25983F8E" w14:textId="77777777">
        <w:trPr>
          <w:trHeight w:val="722"/>
        </w:trPr>
        <w:tc>
          <w:tcPr>
            <w:tcW w:w="1956" w:type="dxa"/>
            <w:vAlign w:val="center"/>
          </w:tcPr>
          <w:p w14:paraId="6D023FB4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Podpora virtualizace</w:t>
            </w:r>
          </w:p>
        </w:tc>
        <w:tc>
          <w:tcPr>
            <w:tcW w:w="7257" w:type="dxa"/>
            <w:vAlign w:val="center"/>
          </w:tcPr>
          <w:p w14:paraId="0A52CD3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Zálohovací software podporující infrastrukturu primárně založenou na verzích Microsoft Hyper-V, VMWare ESX případně KVM, Citrix a to včetně podpory zálohování fyzických serverů a stanic.</w:t>
            </w:r>
          </w:p>
        </w:tc>
      </w:tr>
      <w:tr w:rsidR="00181592" w14:paraId="3B87B88E" w14:textId="77777777">
        <w:trPr>
          <w:trHeight w:val="722"/>
        </w:trPr>
        <w:tc>
          <w:tcPr>
            <w:tcW w:w="1956" w:type="dxa"/>
            <w:vAlign w:val="center"/>
          </w:tcPr>
          <w:p w14:paraId="5CCAEC5F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Podpora clusterových serverů</w:t>
            </w:r>
          </w:p>
        </w:tc>
        <w:tc>
          <w:tcPr>
            <w:tcW w:w="7257" w:type="dxa"/>
            <w:vAlign w:val="center"/>
          </w:tcPr>
          <w:p w14:paraId="6FDAE4C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Podpora zálohování ze samostatných nebo clusterových virtualizovaných serverů typicky za použití System Center Virtual Machine Manager nebo fyzických serverů.</w:t>
            </w:r>
          </w:p>
        </w:tc>
      </w:tr>
      <w:tr w:rsidR="00181592" w14:paraId="436B34F3" w14:textId="77777777">
        <w:trPr>
          <w:trHeight w:val="722"/>
        </w:trPr>
        <w:tc>
          <w:tcPr>
            <w:tcW w:w="1956" w:type="dxa"/>
            <w:vAlign w:val="center"/>
          </w:tcPr>
          <w:p w14:paraId="60BFE8A4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Logování a auditování</w:t>
            </w:r>
          </w:p>
        </w:tc>
        <w:tc>
          <w:tcPr>
            <w:tcW w:w="7257" w:type="dxa"/>
            <w:vAlign w:val="center"/>
          </w:tcPr>
          <w:p w14:paraId="3D4CB93D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Logování a auditování všech událostí přihlášeného uživatele. Zasílání zpráv pomocí SNMP a emailem.</w:t>
            </w:r>
          </w:p>
        </w:tc>
      </w:tr>
      <w:tr w:rsidR="00181592" w14:paraId="45DD5FE0" w14:textId="77777777">
        <w:trPr>
          <w:trHeight w:val="722"/>
        </w:trPr>
        <w:tc>
          <w:tcPr>
            <w:tcW w:w="1956" w:type="dxa"/>
            <w:vAlign w:val="center"/>
          </w:tcPr>
          <w:p w14:paraId="02DB1550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Hlášení, reporty</w:t>
            </w:r>
          </w:p>
        </w:tc>
        <w:tc>
          <w:tcPr>
            <w:tcW w:w="7257" w:type="dxa"/>
            <w:vAlign w:val="center"/>
          </w:tcPr>
          <w:p w14:paraId="29CD590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Hlášení a zasílání reportů o stavu záloh, tvorba časových plánů, tvorba návazných úloh (jedna úloha předchází druhé), současný běh více úloh, současný běh záloh i obnovy, průvodce pro zálohu/obnovu dat, bez omezení na počet cílů a velikost zálohovacích úložišť.</w:t>
            </w:r>
          </w:p>
        </w:tc>
      </w:tr>
      <w:tr w:rsidR="00181592" w14:paraId="184783B3" w14:textId="77777777">
        <w:trPr>
          <w:trHeight w:val="722"/>
        </w:trPr>
        <w:tc>
          <w:tcPr>
            <w:tcW w:w="1956" w:type="dxa"/>
            <w:vAlign w:val="center"/>
          </w:tcPr>
          <w:p w14:paraId="58B3E84B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Záloha konfigurace</w:t>
            </w:r>
          </w:p>
        </w:tc>
        <w:tc>
          <w:tcPr>
            <w:tcW w:w="7257" w:type="dxa"/>
            <w:vAlign w:val="center"/>
          </w:tcPr>
          <w:p w14:paraId="08E36FDF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umožnit zálohu konfigurace serverů pro případ reinstalace nebo migrace v případě potřeby.</w:t>
            </w:r>
          </w:p>
        </w:tc>
      </w:tr>
      <w:tr w:rsidR="00181592" w14:paraId="27B33C51" w14:textId="77777777">
        <w:trPr>
          <w:trHeight w:val="722"/>
        </w:trPr>
        <w:tc>
          <w:tcPr>
            <w:tcW w:w="1956" w:type="dxa"/>
            <w:vAlign w:val="center"/>
          </w:tcPr>
          <w:p w14:paraId="0A941AA9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Komprese, enkrypce</w:t>
            </w:r>
          </w:p>
        </w:tc>
        <w:tc>
          <w:tcPr>
            <w:tcW w:w="7257" w:type="dxa"/>
            <w:vAlign w:val="center"/>
          </w:tcPr>
          <w:p w14:paraId="6ECF7472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podporovat kompresi a enkrypci celé síťové komunikace mezi všemi komponentami řešení (přenášení dat v rámci veřejné sítě pomocí vyhrazených linek bez VPN).</w:t>
            </w:r>
          </w:p>
        </w:tc>
      </w:tr>
      <w:tr w:rsidR="00181592" w14:paraId="6BEC7CE0" w14:textId="77777777">
        <w:trPr>
          <w:trHeight w:val="722"/>
        </w:trPr>
        <w:tc>
          <w:tcPr>
            <w:tcW w:w="1956" w:type="dxa"/>
            <w:vAlign w:val="center"/>
          </w:tcPr>
          <w:p w14:paraId="221DAF7E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Deduplikační a kompresní mechanismus</w:t>
            </w:r>
          </w:p>
        </w:tc>
        <w:tc>
          <w:tcPr>
            <w:tcW w:w="7257" w:type="dxa"/>
            <w:vAlign w:val="center"/>
          </w:tcPr>
          <w:p w14:paraId="67E233D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disponovat deduplikačním a kompresním mechanismem na globální úrovni, který zaručí maximální redukci diskového prostoru potřebného pro zálohovací soubory.</w:t>
            </w:r>
          </w:p>
        </w:tc>
      </w:tr>
      <w:tr w:rsidR="00181592" w14:paraId="198B5125" w14:textId="77777777">
        <w:trPr>
          <w:trHeight w:val="722"/>
        </w:trPr>
        <w:tc>
          <w:tcPr>
            <w:tcW w:w="1956" w:type="dxa"/>
            <w:vAlign w:val="center"/>
          </w:tcPr>
          <w:p w14:paraId="6A7F842D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Kompatibilita s HW</w:t>
            </w:r>
          </w:p>
        </w:tc>
        <w:tc>
          <w:tcPr>
            <w:tcW w:w="7257" w:type="dxa"/>
            <w:vAlign w:val="center"/>
          </w:tcPr>
          <w:p w14:paraId="38FE944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být „hardware agnostic” a musí umožnit využití jakéhokoliv serveru a diskového úložiště (nesmí být uplatněn princip „vendor-lock“ omezující nebo diskriminující budoucí dodávky severů a diskových úložišť).</w:t>
            </w:r>
          </w:p>
        </w:tc>
      </w:tr>
      <w:tr w:rsidR="00181592" w14:paraId="1C57CAB0" w14:textId="77777777">
        <w:trPr>
          <w:trHeight w:val="722"/>
        </w:trPr>
        <w:tc>
          <w:tcPr>
            <w:tcW w:w="1956" w:type="dxa"/>
            <w:vAlign w:val="center"/>
          </w:tcPr>
          <w:p w14:paraId="10B4BAC2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Archiv záloh</w:t>
            </w:r>
          </w:p>
        </w:tc>
        <w:tc>
          <w:tcPr>
            <w:tcW w:w="7257" w:type="dxa"/>
            <w:vAlign w:val="center"/>
          </w:tcPr>
          <w:p w14:paraId="006D4E71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mít možnost vytváření archivů záloh na páskové knihovny s podporou trackování strojů na páskách.</w:t>
            </w:r>
          </w:p>
          <w:p w14:paraId="7C66EDB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umožňovat v rámci jedné zálohovací úlohy ukládání souborů záloh do více fyzických diskových úložišť s různým typem připojení a od různých výrobců pro usnadnění škálovatelnosti řešení.</w:t>
            </w:r>
          </w:p>
          <w:p w14:paraId="13BB375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umožňovat obnovu do původní i nové lokality a to jak pro celé VM‘s, jednotlivé virtuální disky, tak pro jednotlivé soubory, či objekty aplikací.</w:t>
            </w:r>
          </w:p>
          <w:p w14:paraId="1046D52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umožňovat okamžitou obnovu více virtuálních strojů bez nutnosti kopírování dat na produkční datové úložiště z libovolného bodu obnovy.</w:t>
            </w:r>
          </w:p>
          <w:p w14:paraId="086C1D20" w14:textId="77777777" w:rsidR="00181592" w:rsidRDefault="001413A4">
            <w:pPr>
              <w:shd w:val="clear" w:color="FFFFFF" w:fill="FFFFFF" w:themeFill="background1"/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Musí podporovat obnovu Microsoft SQL 2022 a novější (database s možností point-in-time recovery, obnova na úrovní tabulek a schémat)</w:t>
            </w:r>
          </w:p>
          <w:p w14:paraId="36A613F1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podporovat granulární obnovu databází Oracle běžících nad Linux a Windows OS (obnova v režimu point-in-time, obnova tabulek)</w:t>
            </w:r>
          </w:p>
        </w:tc>
      </w:tr>
      <w:tr w:rsidR="00181592" w14:paraId="22A84E61" w14:textId="77777777">
        <w:trPr>
          <w:trHeight w:val="722"/>
        </w:trPr>
        <w:tc>
          <w:tcPr>
            <w:tcW w:w="1956" w:type="dxa"/>
            <w:vAlign w:val="center"/>
          </w:tcPr>
          <w:p w14:paraId="6F077603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Replikace fyzických/ virtuálních serverů</w:t>
            </w:r>
          </w:p>
        </w:tc>
        <w:tc>
          <w:tcPr>
            <w:tcW w:w="7257" w:type="dxa"/>
            <w:vAlign w:val="center"/>
          </w:tcPr>
          <w:p w14:paraId="0C473426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podporovat funkcionalitu replikace virtuálních i fyzických serverů. Replikaci do jiné lokality bez dodatečných licenčních nákladů. Kontinuální replikace pro možnost okamžitého obnovení.</w:t>
            </w:r>
          </w:p>
        </w:tc>
      </w:tr>
      <w:tr w:rsidR="00181592" w14:paraId="235437CC" w14:textId="77777777">
        <w:trPr>
          <w:trHeight w:val="722"/>
        </w:trPr>
        <w:tc>
          <w:tcPr>
            <w:tcW w:w="1956" w:type="dxa"/>
            <w:vAlign w:val="center"/>
          </w:tcPr>
          <w:p w14:paraId="2DD39809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Licencování</w:t>
            </w:r>
          </w:p>
        </w:tc>
        <w:tc>
          <w:tcPr>
            <w:tcW w:w="7257" w:type="dxa"/>
            <w:vAlign w:val="center"/>
          </w:tcPr>
          <w:p w14:paraId="297C5EF9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Licencování nabízeného řešení nesmí být závislé na objemu zálohovaných dat, nebo objemu dat uložených v zálohách, nebo na počtu zálohovaných virtuálních serverů. Všechny vlastnosti a komponenty popsané v tomto dokumentu musí být pro popsané prostředí součástí ceny.</w:t>
            </w:r>
          </w:p>
        </w:tc>
      </w:tr>
      <w:tr w:rsidR="00181592" w14:paraId="36E58D4F" w14:textId="77777777">
        <w:trPr>
          <w:trHeight w:val="722"/>
        </w:trPr>
        <w:tc>
          <w:tcPr>
            <w:tcW w:w="1956" w:type="dxa"/>
            <w:vAlign w:val="center"/>
          </w:tcPr>
          <w:p w14:paraId="70ED4F91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Podpora</w:t>
            </w:r>
          </w:p>
        </w:tc>
        <w:tc>
          <w:tcPr>
            <w:tcW w:w="7257" w:type="dxa"/>
            <w:vAlign w:val="center"/>
          </w:tcPr>
          <w:p w14:paraId="5B12724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dále podporovat:</w:t>
            </w:r>
          </w:p>
          <w:p w14:paraId="6DB7BAED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Hardware snapshoty</w:t>
            </w:r>
          </w:p>
          <w:p w14:paraId="3C8B16D3" w14:textId="65E5F434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Granulární obnovu pro Microsoft Exchange a SQL</w:t>
            </w:r>
          </w:p>
          <w:p w14:paraId="3EF778E4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  <w:highlight w:val="green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Zálohování na v</w:t>
            </w:r>
            <w:r>
              <w:rPr>
                <w:rFonts w:cs="Arial"/>
                <w:color w:val="000000" w:themeColor="text1"/>
                <w:sz w:val="18"/>
                <w:szCs w:val="18"/>
                <w:highlight w:val="white"/>
              </w:rPr>
              <w:t>íce jak 1 páskovou mechaniku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81592" w14:paraId="4BE3A95F" w14:textId="77777777">
        <w:trPr>
          <w:trHeight w:val="722"/>
        </w:trPr>
        <w:tc>
          <w:tcPr>
            <w:tcW w:w="1956" w:type="dxa"/>
            <w:vAlign w:val="center"/>
          </w:tcPr>
          <w:p w14:paraId="1F6AD84F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Definice uživatelů/ oprávnění</w:t>
            </w:r>
          </w:p>
        </w:tc>
        <w:tc>
          <w:tcPr>
            <w:tcW w:w="7257" w:type="dxa"/>
            <w:vAlign w:val="center"/>
          </w:tcPr>
          <w:p w14:paraId="60F9028C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Software musí umožnit definovat různé uživatele a skupiny a jejich oprávnění/role</w:t>
            </w:r>
          </w:p>
        </w:tc>
      </w:tr>
      <w:tr w:rsidR="00181592" w14:paraId="30C3655B" w14:textId="77777777">
        <w:trPr>
          <w:trHeight w:val="722"/>
        </w:trPr>
        <w:tc>
          <w:tcPr>
            <w:tcW w:w="1956" w:type="dxa"/>
            <w:vAlign w:val="center"/>
          </w:tcPr>
          <w:p w14:paraId="77E58CA8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Operační systém</w:t>
            </w:r>
          </w:p>
        </w:tc>
        <w:tc>
          <w:tcPr>
            <w:tcW w:w="7257" w:type="dxa"/>
            <w:vAlign w:val="center"/>
          </w:tcPr>
          <w:p w14:paraId="3C51FF7E" w14:textId="77777777" w:rsidR="00181592" w:rsidRDefault="001413A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Serverový operační systém umožňující instalaci, do navrženého virtuálního prostředí, tohoto zálohovací SW</w:t>
            </w:r>
          </w:p>
        </w:tc>
      </w:tr>
      <w:tr w:rsidR="00181592" w14:paraId="6C23EEEA" w14:textId="77777777">
        <w:trPr>
          <w:trHeight w:val="722"/>
        </w:trPr>
        <w:tc>
          <w:tcPr>
            <w:tcW w:w="1956" w:type="dxa"/>
            <w:vAlign w:val="center"/>
          </w:tcPr>
          <w:p w14:paraId="53143311" w14:textId="6F112F9B" w:rsidR="00181592" w:rsidRDefault="001413A4" w:rsidP="00F926D2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Záruka a </w:t>
            </w:r>
            <w:r w:rsidR="00F926D2">
              <w:rPr>
                <w:rFonts w:cs="Arial"/>
                <w:color w:val="000000" w:themeColor="text1"/>
                <w:sz w:val="18"/>
                <w:szCs w:val="18"/>
              </w:rPr>
              <w:t>technická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 podpora</w:t>
            </w:r>
          </w:p>
        </w:tc>
        <w:tc>
          <w:tcPr>
            <w:tcW w:w="7257" w:type="dxa"/>
            <w:vAlign w:val="center"/>
          </w:tcPr>
          <w:p w14:paraId="48F7F94E" w14:textId="19D05B9E" w:rsidR="00181592" w:rsidRDefault="001413A4" w:rsidP="00F926D2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Support na zálohovací software musí být poskytován samotným výrobcem software v režimu 8x5 softwarové a telefonické podpory v délce minimálně </w:t>
            </w:r>
            <w:r w:rsidR="00F926D2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="00F926D2">
              <w:rPr>
                <w:rFonts w:cs="Arial"/>
                <w:color w:val="000000" w:themeColor="text1"/>
                <w:sz w:val="18"/>
                <w:szCs w:val="18"/>
              </w:rPr>
              <w:t>roky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. Po celou bodu platné podpory musí být k dispozici všechny updaty i upgrady nabízeného SW. SW Licence musí být platná minimálně na </w:t>
            </w:r>
            <w:r w:rsidR="00F926D2">
              <w:rPr>
                <w:rFonts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 w:rsidR="00F926D2">
              <w:rPr>
                <w:rFonts w:cs="Arial"/>
                <w:color w:val="000000" w:themeColor="text1"/>
                <w:sz w:val="18"/>
                <w:szCs w:val="18"/>
              </w:rPr>
              <w:t>roky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39916F15" w14:textId="77777777" w:rsidR="00181592" w:rsidRDefault="00181592"/>
    <w:sectPr w:rsidR="001815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formProt w:val="0"/>
      <w:docGrid w:linePitch="100" w:charSpace="6143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2DC03C" w16cex:dateUtc="2025-01-20T08:48:00Z"/>
  <w16cex:commentExtensible w16cex:durableId="56B6F660" w16cex:dateUtc="2025-01-20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D22447" w16cid:durableId="0A2DC03C"/>
  <w16cid:commentId w16cid:paraId="40B68FEC" w16cid:durableId="56B6F6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54413" w14:textId="77777777" w:rsidR="008D3FF0" w:rsidRDefault="008D3FF0">
      <w:pPr>
        <w:spacing w:before="0" w:after="0" w:line="240" w:lineRule="auto"/>
      </w:pPr>
      <w:r>
        <w:separator/>
      </w:r>
    </w:p>
  </w:endnote>
  <w:endnote w:type="continuationSeparator" w:id="0">
    <w:p w14:paraId="5E546625" w14:textId="77777777" w:rsidR="008D3FF0" w:rsidRDefault="008D3FF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1C1F2" w14:textId="77777777" w:rsidR="00181592" w:rsidRDefault="001815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1651C" w14:textId="77777777" w:rsidR="00181592" w:rsidRDefault="001815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A54CD" w14:textId="77777777" w:rsidR="00181592" w:rsidRDefault="00181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B5DB9" w14:textId="77777777" w:rsidR="008D3FF0" w:rsidRDefault="008D3FF0">
      <w:pPr>
        <w:spacing w:before="0" w:after="0" w:line="240" w:lineRule="auto"/>
      </w:pPr>
      <w:r>
        <w:separator/>
      </w:r>
    </w:p>
  </w:footnote>
  <w:footnote w:type="continuationSeparator" w:id="0">
    <w:p w14:paraId="47CCC9A9" w14:textId="77777777" w:rsidR="008D3FF0" w:rsidRDefault="008D3FF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4B94D" w14:textId="77777777" w:rsidR="00181592" w:rsidRDefault="001815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AE83" w14:textId="77777777" w:rsidR="00181592" w:rsidRDefault="00181592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98C48" w14:textId="77777777" w:rsidR="00181592" w:rsidRDefault="0018159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320"/>
    <w:multiLevelType w:val="multilevel"/>
    <w:tmpl w:val="228A7A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4712C6"/>
    <w:multiLevelType w:val="multilevel"/>
    <w:tmpl w:val="BECC3C16"/>
    <w:lvl w:ilvl="0">
      <w:start w:val="1"/>
      <w:numFmt w:val="lowerRoman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2" w15:restartNumberingAfterBreak="0">
    <w:nsid w:val="02C72C47"/>
    <w:multiLevelType w:val="multilevel"/>
    <w:tmpl w:val="CDE682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2DC5D41"/>
    <w:multiLevelType w:val="multilevel"/>
    <w:tmpl w:val="C052BA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E9144B"/>
    <w:multiLevelType w:val="multilevel"/>
    <w:tmpl w:val="71E0FC8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F10142"/>
    <w:multiLevelType w:val="multilevel"/>
    <w:tmpl w:val="0330B696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B36FE4"/>
    <w:multiLevelType w:val="multilevel"/>
    <w:tmpl w:val="9C8AE2C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BB0E81"/>
    <w:multiLevelType w:val="multilevel"/>
    <w:tmpl w:val="4C6E6FA8"/>
    <w:lvl w:ilvl="0">
      <w:start w:val="7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13BD6475"/>
    <w:multiLevelType w:val="multilevel"/>
    <w:tmpl w:val="48A2D3E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C5B74F6"/>
    <w:multiLevelType w:val="multilevel"/>
    <w:tmpl w:val="AFD2BDC2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BB4C7C"/>
    <w:multiLevelType w:val="multilevel"/>
    <w:tmpl w:val="DDB64F5C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FA723C"/>
    <w:multiLevelType w:val="multilevel"/>
    <w:tmpl w:val="5172FC00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37109B"/>
    <w:multiLevelType w:val="multilevel"/>
    <w:tmpl w:val="9922395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6E692C"/>
    <w:multiLevelType w:val="multilevel"/>
    <w:tmpl w:val="0A7A5AD6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1A30492"/>
    <w:multiLevelType w:val="multilevel"/>
    <w:tmpl w:val="0218C5EE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25794F"/>
    <w:multiLevelType w:val="multilevel"/>
    <w:tmpl w:val="1BC0F53A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A7349A"/>
    <w:multiLevelType w:val="multilevel"/>
    <w:tmpl w:val="4F725778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7306299"/>
    <w:multiLevelType w:val="multilevel"/>
    <w:tmpl w:val="97CAC78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76593A"/>
    <w:multiLevelType w:val="multilevel"/>
    <w:tmpl w:val="BF0243B8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843FE9"/>
    <w:multiLevelType w:val="multilevel"/>
    <w:tmpl w:val="30629500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ED7CB3"/>
    <w:multiLevelType w:val="multilevel"/>
    <w:tmpl w:val="8B84AE60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5D53413"/>
    <w:multiLevelType w:val="multilevel"/>
    <w:tmpl w:val="E040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47764A4F"/>
    <w:multiLevelType w:val="multilevel"/>
    <w:tmpl w:val="19FC35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9E93950"/>
    <w:multiLevelType w:val="multilevel"/>
    <w:tmpl w:val="C994E70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C2A324D"/>
    <w:multiLevelType w:val="multilevel"/>
    <w:tmpl w:val="EAA2E390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CCE43EC"/>
    <w:multiLevelType w:val="multilevel"/>
    <w:tmpl w:val="D7EAE7A0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9734A8"/>
    <w:multiLevelType w:val="multilevel"/>
    <w:tmpl w:val="BEF2E8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82658E"/>
    <w:multiLevelType w:val="multilevel"/>
    <w:tmpl w:val="9548853C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BC30248"/>
    <w:multiLevelType w:val="multilevel"/>
    <w:tmpl w:val="4274EC4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29" w15:restartNumberingAfterBreak="0">
    <w:nsid w:val="5FDA7A46"/>
    <w:multiLevelType w:val="multilevel"/>
    <w:tmpl w:val="6450CDCE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2E944BC"/>
    <w:multiLevelType w:val="multilevel"/>
    <w:tmpl w:val="5508A83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54713B5"/>
    <w:multiLevelType w:val="multilevel"/>
    <w:tmpl w:val="5192AF28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5F0652B"/>
    <w:multiLevelType w:val="multilevel"/>
    <w:tmpl w:val="C0D2AC1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603194"/>
    <w:multiLevelType w:val="multilevel"/>
    <w:tmpl w:val="8DBC07BA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D768A0"/>
    <w:multiLevelType w:val="multilevel"/>
    <w:tmpl w:val="29E80C0E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35" w15:restartNumberingAfterBreak="0">
    <w:nsid w:val="69536DE1"/>
    <w:multiLevelType w:val="multilevel"/>
    <w:tmpl w:val="63D662B8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C36A26"/>
    <w:multiLevelType w:val="multilevel"/>
    <w:tmpl w:val="11BA4850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AC4D31"/>
    <w:multiLevelType w:val="multilevel"/>
    <w:tmpl w:val="48BCB4CE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7C161F6A"/>
    <w:multiLevelType w:val="multilevel"/>
    <w:tmpl w:val="9A5078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407AEF"/>
    <w:multiLevelType w:val="multilevel"/>
    <w:tmpl w:val="D84435B2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3"/>
  </w:num>
  <w:num w:numId="3">
    <w:abstractNumId w:val="36"/>
  </w:num>
  <w:num w:numId="4">
    <w:abstractNumId w:val="30"/>
  </w:num>
  <w:num w:numId="5">
    <w:abstractNumId w:val="15"/>
  </w:num>
  <w:num w:numId="6">
    <w:abstractNumId w:val="28"/>
  </w:num>
  <w:num w:numId="7">
    <w:abstractNumId w:val="10"/>
  </w:num>
  <w:num w:numId="8">
    <w:abstractNumId w:val="1"/>
  </w:num>
  <w:num w:numId="9">
    <w:abstractNumId w:val="8"/>
  </w:num>
  <w:num w:numId="10">
    <w:abstractNumId w:val="39"/>
  </w:num>
  <w:num w:numId="11">
    <w:abstractNumId w:val="19"/>
  </w:num>
  <w:num w:numId="12">
    <w:abstractNumId w:val="37"/>
  </w:num>
  <w:num w:numId="13">
    <w:abstractNumId w:val="13"/>
  </w:num>
  <w:num w:numId="14">
    <w:abstractNumId w:val="11"/>
  </w:num>
  <w:num w:numId="15">
    <w:abstractNumId w:val="6"/>
  </w:num>
  <w:num w:numId="16">
    <w:abstractNumId w:val="12"/>
  </w:num>
  <w:num w:numId="17">
    <w:abstractNumId w:val="9"/>
  </w:num>
  <w:num w:numId="18">
    <w:abstractNumId w:val="4"/>
  </w:num>
  <w:num w:numId="19">
    <w:abstractNumId w:val="32"/>
  </w:num>
  <w:num w:numId="20">
    <w:abstractNumId w:val="5"/>
  </w:num>
  <w:num w:numId="21">
    <w:abstractNumId w:val="23"/>
  </w:num>
  <w:num w:numId="22">
    <w:abstractNumId w:val="20"/>
  </w:num>
  <w:num w:numId="23">
    <w:abstractNumId w:val="29"/>
  </w:num>
  <w:num w:numId="24">
    <w:abstractNumId w:val="34"/>
  </w:num>
  <w:num w:numId="25">
    <w:abstractNumId w:val="35"/>
  </w:num>
  <w:num w:numId="26">
    <w:abstractNumId w:val="24"/>
  </w:num>
  <w:num w:numId="27">
    <w:abstractNumId w:val="27"/>
  </w:num>
  <w:num w:numId="28">
    <w:abstractNumId w:val="14"/>
  </w:num>
  <w:num w:numId="29">
    <w:abstractNumId w:val="16"/>
  </w:num>
  <w:num w:numId="30">
    <w:abstractNumId w:val="17"/>
  </w:num>
  <w:num w:numId="31">
    <w:abstractNumId w:val="18"/>
  </w:num>
  <w:num w:numId="32">
    <w:abstractNumId w:val="25"/>
  </w:num>
  <w:num w:numId="33">
    <w:abstractNumId w:val="3"/>
  </w:num>
  <w:num w:numId="34">
    <w:abstractNumId w:val="0"/>
  </w:num>
  <w:num w:numId="35">
    <w:abstractNumId w:val="26"/>
  </w:num>
  <w:num w:numId="36">
    <w:abstractNumId w:val="2"/>
  </w:num>
  <w:num w:numId="37">
    <w:abstractNumId w:val="22"/>
  </w:num>
  <w:num w:numId="38">
    <w:abstractNumId w:val="38"/>
  </w:num>
  <w:num w:numId="39">
    <w:abstractNumId w:val="3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92"/>
    <w:rsid w:val="001413A4"/>
    <w:rsid w:val="00181592"/>
    <w:rsid w:val="002E157A"/>
    <w:rsid w:val="004412FA"/>
    <w:rsid w:val="0047586F"/>
    <w:rsid w:val="006D18DA"/>
    <w:rsid w:val="007121BA"/>
    <w:rsid w:val="00773284"/>
    <w:rsid w:val="00856C6B"/>
    <w:rsid w:val="008D3FF0"/>
    <w:rsid w:val="00931ED3"/>
    <w:rsid w:val="00B37BB3"/>
    <w:rsid w:val="00B37EEF"/>
    <w:rsid w:val="00BA48CB"/>
    <w:rsid w:val="00C61261"/>
    <w:rsid w:val="00F9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FA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ilvl w:val="0"/>
        <w:numId w:val="11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0">
    <w:name w:val="nadpis 1"/>
    <w:basedOn w:val="Nzev"/>
    <w:uiPriority w:val="99"/>
    <w:qFormat/>
    <w:pPr>
      <w:numPr>
        <w:numId w:val="12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3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4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1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2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3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4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ilvl w:val="0"/>
        <w:numId w:val="20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5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6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7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8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9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0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1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Nadpis3uroven">
    <w:name w:val="Nadpis 3 uroven"/>
    <w:basedOn w:val="Nadpis3"/>
    <w:qFormat/>
    <w:pPr>
      <w:keepLines w:val="0"/>
      <w:numPr>
        <w:ilvl w:val="0"/>
        <w:numId w:val="0"/>
      </w:numPr>
      <w:spacing w:after="60" w:line="360" w:lineRule="auto"/>
    </w:pPr>
    <w:rPr>
      <w:rFonts w:ascii="Arial" w:eastAsia="Times New Roman" w:hAnsi="Arial" w:cs="Arial"/>
      <w:b/>
      <w:bCs/>
      <w:i/>
      <w:iCs/>
      <w:color w:val="auto"/>
      <w:sz w:val="22"/>
      <w:szCs w:val="22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FFFFFF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FFFFFF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FFFFFF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FFFFFF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FFFFFF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FFFFFF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band1Vert">
      <w:tblPr/>
      <w:tcPr>
        <w:shd w:val="clear" w:color="FFFFFF" w:fill="F6C68E" w:themeFill="accent1" w:themeFillTint="75"/>
      </w:tcPr>
    </w:tblStylePr>
    <w:tblStylePr w:type="band1Horz">
      <w:tblPr/>
      <w:tcPr>
        <w:shd w:val="clear" w:color="FFFFFF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band1Vert">
      <w:tblPr/>
      <w:tcPr>
        <w:shd w:val="clear" w:color="FFFFFF" w:fill="E7AF97" w:themeFill="accent2" w:themeFillTint="75"/>
      </w:tcPr>
    </w:tblStylePr>
    <w:tblStylePr w:type="band1Horz">
      <w:tblPr/>
      <w:tcPr>
        <w:shd w:val="clear" w:color="FFFFFF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band1Vert">
      <w:tblPr/>
      <w:tcPr>
        <w:shd w:val="clear" w:color="FFFFFF" w:fill="D0AD9E" w:themeFill="accent3" w:themeFillTint="75"/>
      </w:tcPr>
    </w:tblStylePr>
    <w:tblStylePr w:type="band1Horz">
      <w:tblPr/>
      <w:tcPr>
        <w:shd w:val="clear" w:color="FFFFFF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band1Vert">
      <w:tblPr/>
      <w:tcPr>
        <w:shd w:val="clear" w:color="FFFFFF" w:fill="D2C6B0" w:themeFill="accent4" w:themeFillTint="75"/>
      </w:tcPr>
    </w:tblStylePr>
    <w:tblStylePr w:type="band1Horz">
      <w:tblPr/>
      <w:tcPr>
        <w:shd w:val="clear" w:color="FFFFFF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band1Vert">
      <w:tblPr/>
      <w:tcPr>
        <w:shd w:val="clear" w:color="FFFFFF" w:fill="E3E0C4" w:themeFill="accent5" w:themeFillTint="75"/>
      </w:tcPr>
    </w:tblStylePr>
    <w:tblStylePr w:type="band1Horz">
      <w:tblPr/>
      <w:tcPr>
        <w:shd w:val="clear" w:color="FFFFFF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band1Vert">
      <w:tblPr/>
      <w:tcPr>
        <w:shd w:val="clear" w:color="FFFFFF" w:fill="CDD3C8" w:themeFill="accent6" w:themeFillTint="75"/>
      </w:tcPr>
    </w:tblStylePr>
    <w:tblStylePr w:type="band1Horz">
      <w:tblPr/>
      <w:tcPr>
        <w:shd w:val="clear" w:color="FFFFFF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tblPr/>
      <w:tcPr>
        <w:shd w:val="clear" w:color="FFFFFF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tblPr/>
      <w:tcPr>
        <w:shd w:val="clear" w:color="FFFFFF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tblPr/>
      <w:tcPr>
        <w:shd w:val="clear" w:color="FFFFFF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tblPr/>
      <w:tcPr>
        <w:shd w:val="clear" w:color="FFFFFF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tblPr/>
      <w:tcPr>
        <w:shd w:val="clear" w:color="FFFFF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tblPr/>
      <w:tcPr>
        <w:shd w:val="clear" w:color="FFFFFF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FFFFFF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FFFFFF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FFFFFF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FFFFFF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FFFFFF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FFFFFF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F5EDEA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 w:themeFill="accent3" w:themeFillTint="33"/>
      </w:tcPr>
    </w:tblStylePr>
    <w:tblStylePr w:type="band1Vert">
      <w:tblPr/>
      <w:tcPr>
        <w:shd w:val="clear" w:color="CCA695" w:fill="CCA695" w:themeFill="accent3" w:themeFillTint="7F"/>
      </w:tcPr>
    </w:tblStylePr>
    <w:tblStylePr w:type="band1Horz">
      <w:tblPr/>
      <w:tcPr>
        <w:shd w:val="clear" w:color="CCA695" w:fill="CCA695" w:themeFill="accent3" w:themeFillTint="7F"/>
      </w:tcPr>
    </w:tblStylePr>
    <w:tblStylePr w:type="nwCell">
      <w:tblPr/>
      <w:tcPr>
        <w:shd w:val="clear" w:color="FFFFFF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  <w:tblStylePr w:type="lastRow">
      <w:rPr>
        <w:b/>
      </w:rPr>
      <w:tblPr/>
      <w:tcPr>
        <w:shd w:val="clear" w:color="D4D9CF" w:fill="D4D9CF" w:themeFill="accent6" w:themeFillTint="66"/>
      </w:tcPr>
    </w:tblStylePr>
    <w:tblStylePr w:type="band1Horz">
      <w:tblPr/>
      <w:tcPr>
        <w:shd w:val="clear" w:color="FFFFFF" w:fill="FFFFFF" w:themeFill="background1"/>
      </w:tcPr>
    </w:tblStylePr>
    <w:tblStylePr w:type="band2Horz">
      <w:tblPr/>
      <w:tcPr>
        <w:shd w:val="clear" w:color="EADBD4" w:fill="EADBD4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 w:themeFill="accent4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 w:themeFill="accent4" w:themeFillTint="33"/>
      </w:tcPr>
    </w:tblStylePr>
    <w:tblStylePr w:type="band1Horz">
      <w:tblPr/>
      <w:tcPr>
        <w:shd w:val="clear" w:color="EBE6DC" w:fill="EBE6D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/cpu2017/results/rint2017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2515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2025-02-04T13:34:00Z</dcterms:created>
  <dcterms:modified xsi:type="dcterms:W3CDTF">2025-02-06T12:50:00Z</dcterms:modified>
  <dc:language/>
</cp:coreProperties>
</file>